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80"/>
      </w:pPr>
    </w:p>
    <w:p>
      <w:pPr>
        <w:spacing w:after="20" w:before="0"/>
        <w:jc w:val="center"/>
      </w:pPr>
      <w:r>
        <w:rPr>
          <w:rFonts w:ascii="Calibri" w:cs="Calibri" w:eastAsia="Calibri" w:hAnsi="Calibri"/>
          <w:b/>
          <w:bCs/>
          <w:color w:val="1A1A1A"/>
          <w:sz w:val="32"/>
          <w:szCs w:val="32"/>
        </w:rPr>
        <w:t xml:space="preserve">BIBLIOTHÈQUE DE FORMULATIONS</w:t>
      </w:r>
    </w:p>
    <w:p>
      <w:pPr>
        <w:spacing w:after="20" w:before="0"/>
        <w:jc w:val="center"/>
      </w:pPr>
      <w:r>
        <w:rPr>
          <w:rFonts w:ascii="Calibri" w:cs="Calibri" w:eastAsia="Calibri" w:hAnsi="Calibri"/>
          <w:b/>
          <w:bCs/>
          <w:color w:val="0A7C5C"/>
          <w:sz w:val="22"/>
          <w:szCs w:val="22"/>
        </w:rPr>
        <w:t xml:space="preserve">Professionnelles  —  Prêtes à l'emploi</w:t>
      </w:r>
    </w:p>
    <w:p>
      <w:pPr>
        <w:spacing w:after="200" w:before="0"/>
        <w:jc w:val="center"/>
      </w:pPr>
      <w:r>
        <w:rPr>
          <w:rFonts w:ascii="Calibri" w:cs="Calibri" w:eastAsia="Calibri" w:hAnsi="Calibri"/>
          <w:i/>
          <w:iCs/>
          <w:color w:val="888888"/>
          <w:sz w:val="17"/>
          <w:szCs w:val="17"/>
        </w:rPr>
        <w:t xml:space="preserve">Pour tous vos documents de formation  —  Kipkit by AKANUP</w:t>
      </w:r>
    </w:p>
    <w:p>
      <w:pPr>
        <w:pBdr>
          <w:bottom w:val="single" w:color="0A7C5C" w:sz="4" w:space="1"/>
        </w:pBdr>
        <w:spacing w:after="40" w:before="30"/>
      </w:pPr>
    </w:p>
    <w:p>
      <w:pPr>
        <w:spacing w:after="40" w:before="40"/>
      </w:pPr>
    </w:p>
    <w:p>
      <w:pPr>
        <w:spacing w:after="80" w:before="260"/>
      </w:pPr>
      <w:r>
        <w:rPr>
          <w:rFonts w:ascii="Calibri" w:cs="Calibri" w:eastAsia="Calibri" w:hAnsi="Calibri"/>
          <w:b/>
          <w:bCs/>
          <w:color w:val="0A7C5C"/>
          <w:sz w:val="26"/>
          <w:szCs w:val="26"/>
        </w:rPr>
        <w:t xml:space="preserve">1. Formulations pour les objectifs pédagogiques</w:t>
      </w:r>
    </w:p>
    <w:p>
      <w:pPr>
        <w:pBdr>
          <w:bottom w:val="single" w:color="0A7C5C" w:sz="4" w:space="1"/>
        </w:pBdr>
        <w:spacing w:after="40" w:before="30"/>
      </w:pPr>
    </w:p>
    <w:p>
      <w:pPr>
        <w:spacing w:after="20" w:before="20"/>
      </w:pPr>
    </w:p>
    <w:p>
      <w:pPr>
        <w:spacing w:after="38" w:before="38"/>
      </w:pPr>
      <w:r>
        <w:rPr>
          <w:rFonts w:ascii="Calibri" w:cs="Calibri" w:eastAsia="Calibri" w:hAnsi="Calibri"/>
          <w:color w:val="333333"/>
          <w:sz w:val="19"/>
          <w:szCs w:val="19"/>
        </w:rPr>
        <w:t xml:space="preserve">Un bon objectif pédagogique commence par un verbe d'action observable. Voici des formulations testées, classées par niveau (Taxonomie de Bloom).</w:t>
      </w:r>
    </w:p>
    <w:p>
      <w:pPr>
        <w:spacing w:after="10" w:before="10"/>
      </w:pP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838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F1623" w:val="clear" w:color="auto"/>
            <w:tcMar>
              <w:top w:type="dxa" w:w="65"/>
              <w:left w:type="dxa" w:w="130"/>
              <w:bottom w:type="dxa" w:w="65"/>
              <w:right w:type="dxa" w:w="10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Niveau de complexité</w:t>
            </w:r>
          </w:p>
        </w:tc>
        <w:tc>
          <w:tcPr>
            <w:tcW w:type="dxa" w:w="68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F1623" w:val="clear" w:color="auto"/>
            <w:tcMar>
              <w:top w:type="dxa" w:w="65"/>
              <w:left w:type="dxa" w:w="100"/>
              <w:bottom w:type="dxa" w:w="65"/>
              <w:right w:type="dxa" w:w="13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Formulations type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60"/>
              <w:left w:type="dxa" w:w="130"/>
              <w:bottom w:type="dxa" w:w="60"/>
              <w:right w:type="dxa" w:w="10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333333"/>
                <w:sz w:val="17"/>
                <w:szCs w:val="17"/>
              </w:rPr>
              <w:t xml:space="preserve">Niveau 1 — Connaissance</w:t>
            </w:r>
          </w:p>
        </w:tc>
        <w:tc>
          <w:tcPr>
            <w:tcW w:type="dxa" w:w="68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60"/>
              <w:left w:type="dxa" w:w="100"/>
              <w:bottom w:type="dxa" w:w="60"/>
              <w:right w:type="dxa" w:w="13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333333"/>
                <w:sz w:val="17"/>
                <w:szCs w:val="17"/>
              </w:rPr>
              <w:t xml:space="preserve">À l'issue de la formation, le participant sera capable de citer / lister / nommer / définir...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60"/>
              <w:left w:type="dxa" w:w="130"/>
              <w:bottom w:type="dxa" w:w="60"/>
              <w:right w:type="dxa" w:w="10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333333"/>
                <w:sz w:val="17"/>
                <w:szCs w:val="17"/>
              </w:rPr>
              <w:t xml:space="preserve">Niveau 2 — Compréhension</w:t>
            </w:r>
          </w:p>
        </w:tc>
        <w:tc>
          <w:tcPr>
            <w:tcW w:type="dxa" w:w="68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60"/>
              <w:left w:type="dxa" w:w="100"/>
              <w:bottom w:type="dxa" w:w="60"/>
              <w:right w:type="dxa" w:w="13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333333"/>
                <w:sz w:val="17"/>
                <w:szCs w:val="17"/>
              </w:rPr>
              <w:t xml:space="preserve">...d'expliquer / reformuler / interpréter / illustrer / distinguer...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60"/>
              <w:left w:type="dxa" w:w="130"/>
              <w:bottom w:type="dxa" w:w="60"/>
              <w:right w:type="dxa" w:w="10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333333"/>
                <w:sz w:val="17"/>
                <w:szCs w:val="17"/>
              </w:rPr>
              <w:t xml:space="preserve">Niveau 3 — Application</w:t>
            </w:r>
          </w:p>
        </w:tc>
        <w:tc>
          <w:tcPr>
            <w:tcW w:type="dxa" w:w="68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60"/>
              <w:left w:type="dxa" w:w="100"/>
              <w:bottom w:type="dxa" w:w="60"/>
              <w:right w:type="dxa" w:w="13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333333"/>
                <w:sz w:val="17"/>
                <w:szCs w:val="17"/>
              </w:rPr>
              <w:t xml:space="preserve">...d'appliquer / utiliser / démontrer / mettre en œuvre / résoudre...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60"/>
              <w:left w:type="dxa" w:w="130"/>
              <w:bottom w:type="dxa" w:w="60"/>
              <w:right w:type="dxa" w:w="10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333333"/>
                <w:sz w:val="17"/>
                <w:szCs w:val="17"/>
              </w:rPr>
              <w:t xml:space="preserve">Niveau 4 — Analyse</w:t>
            </w:r>
          </w:p>
        </w:tc>
        <w:tc>
          <w:tcPr>
            <w:tcW w:type="dxa" w:w="68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60"/>
              <w:left w:type="dxa" w:w="100"/>
              <w:bottom w:type="dxa" w:w="60"/>
              <w:right w:type="dxa" w:w="13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333333"/>
                <w:sz w:val="17"/>
                <w:szCs w:val="17"/>
              </w:rPr>
              <w:t xml:space="preserve">...d'analyser / comparer / discriminer / examiner / décomposer...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60"/>
              <w:left w:type="dxa" w:w="130"/>
              <w:bottom w:type="dxa" w:w="60"/>
              <w:right w:type="dxa" w:w="10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333333"/>
                <w:sz w:val="17"/>
                <w:szCs w:val="17"/>
              </w:rPr>
              <w:t xml:space="preserve">Niveau 5 — Synthèse / Création</w:t>
            </w:r>
          </w:p>
        </w:tc>
        <w:tc>
          <w:tcPr>
            <w:tcW w:type="dxa" w:w="68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60"/>
              <w:left w:type="dxa" w:w="100"/>
              <w:bottom w:type="dxa" w:w="60"/>
              <w:right w:type="dxa" w:w="13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333333"/>
                <w:sz w:val="17"/>
                <w:szCs w:val="17"/>
              </w:rPr>
              <w:t xml:space="preserve">...de concevoir / construire / planifier / organiser / produire...</w:t>
            </w:r>
          </w:p>
        </w:tc>
      </w:tr>
    </w:tbl>
    <w:p>
      <w:pPr>
        <w:spacing w:after="60" w:before="60"/>
      </w:pPr>
    </w:p>
    <w:p>
      <w:pPr>
        <w:spacing w:after="80" w:before="260"/>
      </w:pPr>
      <w:r>
        <w:rPr>
          <w:rFonts w:ascii="Calibri" w:cs="Calibri" w:eastAsia="Calibri" w:hAnsi="Calibri"/>
          <w:b/>
          <w:bCs/>
          <w:color w:val="0A7C5C"/>
          <w:sz w:val="26"/>
          <w:szCs w:val="26"/>
        </w:rPr>
        <w:t xml:space="preserve">2. Formulations pour les programmes de formation</w:t>
      </w:r>
    </w:p>
    <w:p>
      <w:pPr>
        <w:pBdr>
          <w:bottom w:val="single" w:color="0A7C5C" w:sz="4" w:space="1"/>
        </w:pBdr>
        <w:spacing w:after="40" w:before="30"/>
      </w:pPr>
    </w:p>
    <w:p>
      <w:pPr>
        <w:spacing w:after="20" w:before="20"/>
      </w:pP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838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F1623" w:val="clear" w:color="auto"/>
            <w:tcMar>
              <w:top w:type="dxa" w:w="65"/>
              <w:left w:type="dxa" w:w="130"/>
              <w:bottom w:type="dxa" w:w="65"/>
              <w:right w:type="dxa" w:w="10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Section</w:t>
            </w:r>
          </w:p>
        </w:tc>
        <w:tc>
          <w:tcPr>
            <w:tcW w:type="dxa" w:w="68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F1623" w:val="clear" w:color="auto"/>
            <w:tcMar>
              <w:top w:type="dxa" w:w="65"/>
              <w:left w:type="dxa" w:w="100"/>
              <w:bottom w:type="dxa" w:w="65"/>
              <w:right w:type="dxa" w:w="13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Formulation professionnelle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60"/>
              <w:left w:type="dxa" w:w="130"/>
              <w:bottom w:type="dxa" w:w="60"/>
              <w:right w:type="dxa" w:w="10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333333"/>
                <w:sz w:val="17"/>
                <w:szCs w:val="17"/>
              </w:rPr>
              <w:t xml:space="preserve">Public visé</w:t>
            </w:r>
          </w:p>
        </w:tc>
        <w:tc>
          <w:tcPr>
            <w:tcW w:type="dxa" w:w="68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60"/>
              <w:left w:type="dxa" w:w="100"/>
              <w:bottom w:type="dxa" w:w="60"/>
              <w:right w:type="dxa" w:w="13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333333"/>
                <w:sz w:val="17"/>
                <w:szCs w:val="17"/>
              </w:rPr>
              <w:t xml:space="preserve">Tout collaborateur souhaitant développer ses compétences en [domaine] — Tout manager en charge d'une équipe de [X] à [X] personnes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60"/>
              <w:left w:type="dxa" w:w="130"/>
              <w:bottom w:type="dxa" w:w="60"/>
              <w:right w:type="dxa" w:w="10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333333"/>
                <w:sz w:val="17"/>
                <w:szCs w:val="17"/>
              </w:rPr>
              <w:t xml:space="preserve">Prérequis</w:t>
            </w:r>
          </w:p>
        </w:tc>
        <w:tc>
          <w:tcPr>
            <w:tcW w:type="dxa" w:w="68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60"/>
              <w:left w:type="dxa" w:w="100"/>
              <w:bottom w:type="dxa" w:w="60"/>
              <w:right w:type="dxa" w:w="13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333333"/>
                <w:sz w:val="17"/>
                <w:szCs w:val="17"/>
              </w:rPr>
              <w:t xml:space="preserve">Aucun prérequis requis — Maîtrise des fondamentaux de [domaine] souhaitée — Expérience professionnelle dans [secteur] appréciée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60"/>
              <w:left w:type="dxa" w:w="130"/>
              <w:bottom w:type="dxa" w:w="60"/>
              <w:right w:type="dxa" w:w="10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333333"/>
                <w:sz w:val="17"/>
                <w:szCs w:val="17"/>
              </w:rPr>
              <w:t xml:space="preserve">Durée</w:t>
            </w:r>
          </w:p>
        </w:tc>
        <w:tc>
          <w:tcPr>
            <w:tcW w:type="dxa" w:w="68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60"/>
              <w:left w:type="dxa" w:w="100"/>
              <w:bottom w:type="dxa" w:w="60"/>
              <w:right w:type="dxa" w:w="13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333333"/>
                <w:sz w:val="17"/>
                <w:szCs w:val="17"/>
              </w:rPr>
              <w:t xml:space="preserve">[X] heures réparties sur [X] jour(s) — Formation dispensée en [X] sessions de [X] heures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60"/>
              <w:left w:type="dxa" w:w="130"/>
              <w:bottom w:type="dxa" w:w="60"/>
              <w:right w:type="dxa" w:w="10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333333"/>
                <w:sz w:val="17"/>
                <w:szCs w:val="17"/>
              </w:rPr>
              <w:t xml:space="preserve">Méthodes pédagogiques</w:t>
            </w:r>
          </w:p>
        </w:tc>
        <w:tc>
          <w:tcPr>
            <w:tcW w:type="dxa" w:w="68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60"/>
              <w:left w:type="dxa" w:w="100"/>
              <w:bottom w:type="dxa" w:w="60"/>
              <w:right w:type="dxa" w:w="13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333333"/>
                <w:sz w:val="17"/>
                <w:szCs w:val="17"/>
              </w:rPr>
              <w:t xml:space="preserve">Apports théoriques et pratiques — Études de cas issus du terrain — Mises en situation et jeux de rôle — Travaux en sous-groupes — Échanges de pratiques entre participants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60"/>
              <w:left w:type="dxa" w:w="130"/>
              <w:bottom w:type="dxa" w:w="60"/>
              <w:right w:type="dxa" w:w="10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333333"/>
                <w:sz w:val="17"/>
                <w:szCs w:val="17"/>
              </w:rPr>
              <w:t xml:space="preserve">Modalités d'évaluation</w:t>
            </w:r>
          </w:p>
        </w:tc>
        <w:tc>
          <w:tcPr>
            <w:tcW w:type="dxa" w:w="68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60"/>
              <w:left w:type="dxa" w:w="100"/>
              <w:bottom w:type="dxa" w:w="60"/>
              <w:right w:type="dxa" w:w="13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333333"/>
                <w:sz w:val="17"/>
                <w:szCs w:val="17"/>
              </w:rPr>
              <w:t xml:space="preserve">Évaluation des acquis en cours de formation par des exercices pratiques — QCM de validation des acquis en fin de formation — Grille d'observation comportementale lors des mises en situation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60"/>
              <w:left w:type="dxa" w:w="130"/>
              <w:bottom w:type="dxa" w:w="60"/>
              <w:right w:type="dxa" w:w="10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333333"/>
                <w:sz w:val="17"/>
                <w:szCs w:val="17"/>
              </w:rPr>
              <w:t xml:space="preserve">Accessibilité</w:t>
            </w:r>
          </w:p>
        </w:tc>
        <w:tc>
          <w:tcPr>
            <w:tcW w:type="dxa" w:w="68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60"/>
              <w:left w:type="dxa" w:w="100"/>
              <w:bottom w:type="dxa" w:w="60"/>
              <w:right w:type="dxa" w:w="13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333333"/>
                <w:sz w:val="17"/>
                <w:szCs w:val="17"/>
              </w:rPr>
              <w:t xml:space="preserve">Formation accessible aux personnes en situation de handicap — Contacter notre référent handicap à [email] pour toute adaptation nécessaire</w:t>
            </w:r>
          </w:p>
        </w:tc>
      </w:tr>
    </w:tbl>
    <w:p>
      <w:pPr>
        <w:spacing w:after="60" w:before="60"/>
      </w:pPr>
    </w:p>
    <w:p>
      <w:r>
        <w:br w:type="page"/>
      </w:r>
    </w:p>
    <w:p>
      <w:pPr>
        <w:spacing w:after="80" w:before="260"/>
      </w:pPr>
      <w:r>
        <w:rPr>
          <w:rFonts w:ascii="Calibri" w:cs="Calibri" w:eastAsia="Calibri" w:hAnsi="Calibri"/>
          <w:b/>
          <w:bCs/>
          <w:color w:val="0A7C5C"/>
          <w:sz w:val="26"/>
          <w:szCs w:val="26"/>
        </w:rPr>
        <w:t xml:space="preserve">3. Formulations pour les mails professionnels</w:t>
      </w:r>
    </w:p>
    <w:p>
      <w:pPr>
        <w:pBdr>
          <w:bottom w:val="single" w:color="0A7C5C" w:sz="4" w:space="1"/>
        </w:pBdr>
        <w:spacing w:after="40" w:before="30"/>
      </w:pPr>
    </w:p>
    <w:p>
      <w:pPr>
        <w:spacing w:after="20" w:before="20"/>
      </w:pP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838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F1623" w:val="clear" w:color="auto"/>
            <w:tcMar>
              <w:top w:type="dxa" w:w="65"/>
              <w:left w:type="dxa" w:w="130"/>
              <w:bottom w:type="dxa" w:w="65"/>
              <w:right w:type="dxa" w:w="10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Situation</w:t>
            </w:r>
          </w:p>
        </w:tc>
        <w:tc>
          <w:tcPr>
            <w:tcW w:type="dxa" w:w="68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F1623" w:val="clear" w:color="auto"/>
            <w:tcMar>
              <w:top w:type="dxa" w:w="65"/>
              <w:left w:type="dxa" w:w="100"/>
              <w:bottom w:type="dxa" w:w="65"/>
              <w:right w:type="dxa" w:w="13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Formulation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60"/>
              <w:left w:type="dxa" w:w="130"/>
              <w:bottom w:type="dxa" w:w="60"/>
              <w:right w:type="dxa" w:w="10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333333"/>
                <w:sz w:val="17"/>
                <w:szCs w:val="17"/>
              </w:rPr>
              <w:t xml:space="preserve">Accuser réception</w:t>
            </w:r>
          </w:p>
        </w:tc>
        <w:tc>
          <w:tcPr>
            <w:tcW w:type="dxa" w:w="68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60"/>
              <w:left w:type="dxa" w:w="100"/>
              <w:bottom w:type="dxa" w:w="60"/>
              <w:right w:type="dxa" w:w="13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333333"/>
                <w:sz w:val="17"/>
                <w:szCs w:val="17"/>
              </w:rPr>
              <w:t xml:space="preserve">Nous avons bien reçu votre message et nous vous en remercions. Nous reviendrons vers vous dans les meilleurs délais.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60"/>
              <w:left w:type="dxa" w:w="130"/>
              <w:bottom w:type="dxa" w:w="60"/>
              <w:right w:type="dxa" w:w="10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333333"/>
                <w:sz w:val="17"/>
                <w:szCs w:val="17"/>
              </w:rPr>
              <w:t xml:space="preserve">Annoncer un délai</w:t>
            </w:r>
          </w:p>
        </w:tc>
        <w:tc>
          <w:tcPr>
            <w:tcW w:type="dxa" w:w="68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60"/>
              <w:left w:type="dxa" w:w="100"/>
              <w:bottom w:type="dxa" w:w="60"/>
              <w:right w:type="dxa" w:w="13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333333"/>
                <w:sz w:val="17"/>
                <w:szCs w:val="17"/>
              </w:rPr>
              <w:t xml:space="preserve">Je reviendrai vers vous d'ici [X] jours ouvrés avec une réponse complète.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60"/>
              <w:left w:type="dxa" w:w="130"/>
              <w:bottom w:type="dxa" w:w="60"/>
              <w:right w:type="dxa" w:w="10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333333"/>
                <w:sz w:val="17"/>
                <w:szCs w:val="17"/>
              </w:rPr>
              <w:t xml:space="preserve">Demander des informations complémentaires</w:t>
            </w:r>
          </w:p>
        </w:tc>
        <w:tc>
          <w:tcPr>
            <w:tcW w:type="dxa" w:w="68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60"/>
              <w:left w:type="dxa" w:w="100"/>
              <w:bottom w:type="dxa" w:w="60"/>
              <w:right w:type="dxa" w:w="13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333333"/>
                <w:sz w:val="17"/>
                <w:szCs w:val="17"/>
              </w:rPr>
              <w:t xml:space="preserve">Afin de vous proposer une réponse adaptée, pourriez-vous nous préciser [question] ?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60"/>
              <w:left w:type="dxa" w:w="130"/>
              <w:bottom w:type="dxa" w:w="60"/>
              <w:right w:type="dxa" w:w="10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333333"/>
                <w:sz w:val="17"/>
                <w:szCs w:val="17"/>
              </w:rPr>
              <w:t xml:space="preserve">Envoyer un document</w:t>
            </w:r>
          </w:p>
        </w:tc>
        <w:tc>
          <w:tcPr>
            <w:tcW w:type="dxa" w:w="68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60"/>
              <w:left w:type="dxa" w:w="100"/>
              <w:bottom w:type="dxa" w:w="60"/>
              <w:right w:type="dxa" w:w="13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333333"/>
                <w:sz w:val="17"/>
                <w:szCs w:val="17"/>
              </w:rPr>
              <w:t xml:space="preserve">Veuillez trouver ci-joint [nom du document]. N'hésitez pas à revenir vers nous pour toute question.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60"/>
              <w:left w:type="dxa" w:w="130"/>
              <w:bottom w:type="dxa" w:w="60"/>
              <w:right w:type="dxa" w:w="10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333333"/>
                <w:sz w:val="17"/>
                <w:szCs w:val="17"/>
              </w:rPr>
              <w:t xml:space="preserve">Relancer poliment</w:t>
            </w:r>
          </w:p>
        </w:tc>
        <w:tc>
          <w:tcPr>
            <w:tcW w:type="dxa" w:w="68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60"/>
              <w:left w:type="dxa" w:w="100"/>
              <w:bottom w:type="dxa" w:w="60"/>
              <w:right w:type="dxa" w:w="13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333333"/>
                <w:sz w:val="17"/>
                <w:szCs w:val="17"/>
              </w:rPr>
              <w:t xml:space="preserve">Je me permets de revenir vers vous concernant [objet]. Est-ce que ce sujet est toujours d'actualité pour vous ?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60"/>
              <w:left w:type="dxa" w:w="130"/>
              <w:bottom w:type="dxa" w:w="60"/>
              <w:right w:type="dxa" w:w="10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333333"/>
                <w:sz w:val="17"/>
                <w:szCs w:val="17"/>
              </w:rPr>
              <w:t xml:space="preserve">Refuser une demande</w:t>
            </w:r>
          </w:p>
        </w:tc>
        <w:tc>
          <w:tcPr>
            <w:tcW w:type="dxa" w:w="68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60"/>
              <w:left w:type="dxa" w:w="100"/>
              <w:bottom w:type="dxa" w:w="60"/>
              <w:right w:type="dxa" w:w="13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333333"/>
                <w:sz w:val="17"/>
                <w:szCs w:val="17"/>
              </w:rPr>
              <w:t xml:space="preserve">Nous ne sommes malheureusement pas en mesure de donner suite à votre demande. Nous restons disponibles pour trouver une alternative adaptée à vos besoins.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60"/>
              <w:left w:type="dxa" w:w="130"/>
              <w:bottom w:type="dxa" w:w="60"/>
              <w:right w:type="dxa" w:w="10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333333"/>
                <w:sz w:val="17"/>
                <w:szCs w:val="17"/>
              </w:rPr>
              <w:t xml:space="preserve">Annoncer une bonne nouvelle</w:t>
            </w:r>
          </w:p>
        </w:tc>
        <w:tc>
          <w:tcPr>
            <w:tcW w:type="dxa" w:w="68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60"/>
              <w:left w:type="dxa" w:w="100"/>
              <w:bottom w:type="dxa" w:w="60"/>
              <w:right w:type="dxa" w:w="13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333333"/>
                <w:sz w:val="17"/>
                <w:szCs w:val="17"/>
              </w:rPr>
              <w:t xml:space="preserve">Nous avons le plaisir de vous informer que [information]. Nous sommes ravis de pouvoir vous accompagner dans ce projet.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60"/>
              <w:left w:type="dxa" w:w="130"/>
              <w:bottom w:type="dxa" w:w="60"/>
              <w:right w:type="dxa" w:w="10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333333"/>
                <w:sz w:val="17"/>
                <w:szCs w:val="17"/>
              </w:rPr>
              <w:t xml:space="preserve">Clôturer un dossier</w:t>
            </w:r>
          </w:p>
        </w:tc>
        <w:tc>
          <w:tcPr>
            <w:tcW w:type="dxa" w:w="68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60"/>
              <w:left w:type="dxa" w:w="100"/>
              <w:bottom w:type="dxa" w:w="60"/>
              <w:right w:type="dxa" w:w="13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333333"/>
                <w:sz w:val="17"/>
                <w:szCs w:val="17"/>
              </w:rPr>
              <w:t xml:space="preserve">Ce dossier est désormais clôturé de notre côté. Nous vous remercions pour la confiance que vous nous avez accordée.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60"/>
              <w:left w:type="dxa" w:w="130"/>
              <w:bottom w:type="dxa" w:w="60"/>
              <w:right w:type="dxa" w:w="10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333333"/>
                <w:sz w:val="17"/>
                <w:szCs w:val="17"/>
              </w:rPr>
              <w:t xml:space="preserve">Confirmer une réunion</w:t>
            </w:r>
          </w:p>
        </w:tc>
        <w:tc>
          <w:tcPr>
            <w:tcW w:type="dxa" w:w="68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60"/>
              <w:left w:type="dxa" w:w="100"/>
              <w:bottom w:type="dxa" w:w="60"/>
              <w:right w:type="dxa" w:w="13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333333"/>
                <w:sz w:val="17"/>
                <w:szCs w:val="17"/>
              </w:rPr>
              <w:t xml:space="preserve">Je confirme notre rendez-vous du [date] à [heure]. Nous vous attendons avec impatience.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60"/>
              <w:left w:type="dxa" w:w="130"/>
              <w:bottom w:type="dxa" w:w="60"/>
              <w:right w:type="dxa" w:w="10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333333"/>
                <w:sz w:val="17"/>
                <w:szCs w:val="17"/>
              </w:rPr>
              <w:t xml:space="preserve">Gérer une réclamation</w:t>
            </w:r>
          </w:p>
        </w:tc>
        <w:tc>
          <w:tcPr>
            <w:tcW w:type="dxa" w:w="68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60"/>
              <w:left w:type="dxa" w:w="100"/>
              <w:bottom w:type="dxa" w:w="60"/>
              <w:right w:type="dxa" w:w="13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333333"/>
                <w:sz w:val="17"/>
                <w:szCs w:val="17"/>
              </w:rPr>
              <w:t xml:space="preserve">Nous sommes sincèrement navrés de la situation que vous avez rencontrée. Votre satisfaction est notre priorité et nous mettons tout en œuvre pour y remédier.</w:t>
            </w:r>
          </w:p>
        </w:tc>
      </w:tr>
    </w:tbl>
    <w:p>
      <w:pPr>
        <w:spacing w:after="60" w:before="60"/>
      </w:pPr>
    </w:p>
    <w:p>
      <w:pPr>
        <w:spacing w:after="80" w:before="260"/>
      </w:pPr>
      <w:r>
        <w:rPr>
          <w:rFonts w:ascii="Calibri" w:cs="Calibri" w:eastAsia="Calibri" w:hAnsi="Calibri"/>
          <w:b/>
          <w:bCs/>
          <w:color w:val="0A7C5C"/>
          <w:sz w:val="26"/>
          <w:szCs w:val="26"/>
        </w:rPr>
        <w:t xml:space="preserve">4. Formulations pour les documents qualité</w:t>
      </w:r>
    </w:p>
    <w:p>
      <w:pPr>
        <w:pBdr>
          <w:bottom w:val="single" w:color="0A7C5C" w:sz="4" w:space="1"/>
        </w:pBdr>
        <w:spacing w:after="40" w:before="30"/>
      </w:pPr>
    </w:p>
    <w:p>
      <w:pPr>
        <w:spacing w:after="20" w:before="20"/>
      </w:pP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838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F1623" w:val="clear" w:color="auto"/>
            <w:tcMar>
              <w:top w:type="dxa" w:w="65"/>
              <w:left w:type="dxa" w:w="130"/>
              <w:bottom w:type="dxa" w:w="65"/>
              <w:right w:type="dxa" w:w="10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Section document</w:t>
            </w:r>
          </w:p>
        </w:tc>
        <w:tc>
          <w:tcPr>
            <w:tcW w:type="dxa" w:w="68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F1623" w:val="clear" w:color="auto"/>
            <w:tcMar>
              <w:top w:type="dxa" w:w="65"/>
              <w:left w:type="dxa" w:w="100"/>
              <w:bottom w:type="dxa" w:w="65"/>
              <w:right w:type="dxa" w:w="13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Formulation recommandée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60"/>
              <w:left w:type="dxa" w:w="130"/>
              <w:bottom w:type="dxa" w:w="60"/>
              <w:right w:type="dxa" w:w="10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333333"/>
                <w:sz w:val="17"/>
                <w:szCs w:val="17"/>
              </w:rPr>
              <w:t xml:space="preserve">Description d'une action corrective</w:t>
            </w:r>
          </w:p>
        </w:tc>
        <w:tc>
          <w:tcPr>
            <w:tcW w:type="dxa" w:w="68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60"/>
              <w:left w:type="dxa" w:w="100"/>
              <w:bottom w:type="dxa" w:w="60"/>
              <w:right w:type="dxa" w:w="13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333333"/>
                <w:sz w:val="17"/>
                <w:szCs w:val="17"/>
              </w:rPr>
              <w:t xml:space="preserve">Mise en place d'une procédure de vérification systématique [de quoi] avant [quand], par [qui], afin d'éviter la récurrence de [incident].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60"/>
              <w:left w:type="dxa" w:w="130"/>
              <w:bottom w:type="dxa" w:w="60"/>
              <w:right w:type="dxa" w:w="10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333333"/>
                <w:sz w:val="17"/>
                <w:szCs w:val="17"/>
              </w:rPr>
              <w:t xml:space="preserve">Analyse de cause racine</w:t>
            </w:r>
          </w:p>
        </w:tc>
        <w:tc>
          <w:tcPr>
            <w:tcW w:type="dxa" w:w="68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60"/>
              <w:left w:type="dxa" w:w="100"/>
              <w:bottom w:type="dxa" w:w="60"/>
              <w:right w:type="dxa" w:w="13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333333"/>
                <w:sz w:val="17"/>
                <w:szCs w:val="17"/>
              </w:rPr>
              <w:t xml:space="preserve">Après analyse, la cause racine identifiée est [cause]. Cet écart provient de [explication]. La mesure corrective suivante a été engagée : [action].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60"/>
              <w:left w:type="dxa" w:w="130"/>
              <w:bottom w:type="dxa" w:w="60"/>
              <w:right w:type="dxa" w:w="10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333333"/>
                <w:sz w:val="17"/>
                <w:szCs w:val="17"/>
              </w:rPr>
              <w:t xml:space="preserve">Objectif d'amélioration</w:t>
            </w:r>
          </w:p>
        </w:tc>
        <w:tc>
          <w:tcPr>
            <w:tcW w:type="dxa" w:w="68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60"/>
              <w:left w:type="dxa" w:w="100"/>
              <w:bottom w:type="dxa" w:w="60"/>
              <w:right w:type="dxa" w:w="13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333333"/>
                <w:sz w:val="17"/>
                <w:szCs w:val="17"/>
              </w:rPr>
              <w:t xml:space="preserve">Améliorer [indicateur] de [valeur actuelle] à [valeur cible] d'ici le [date], en mettant en œuvre [action].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60"/>
              <w:left w:type="dxa" w:w="130"/>
              <w:bottom w:type="dxa" w:w="60"/>
              <w:right w:type="dxa" w:w="10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333333"/>
                <w:sz w:val="17"/>
                <w:szCs w:val="17"/>
              </w:rPr>
              <w:t xml:space="preserve">Résultats d'évaluation</w:t>
            </w:r>
          </w:p>
        </w:tc>
        <w:tc>
          <w:tcPr>
            <w:tcW w:type="dxa" w:w="68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3ED" w:val="clear" w:color="auto"/>
            <w:tcMar>
              <w:top w:type="dxa" w:w="60"/>
              <w:left w:type="dxa" w:w="100"/>
              <w:bottom w:type="dxa" w:w="60"/>
              <w:right w:type="dxa" w:w="13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333333"/>
                <w:sz w:val="17"/>
                <w:szCs w:val="17"/>
              </w:rPr>
              <w:t xml:space="preserve">La session a obtenu une note de satisfaction moyenne de [X/10], soit [+/-X points] par rapport à la session précédente. [X%] des participants estiment avoir atteint les objectifs pédagogiques.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60"/>
              <w:left w:type="dxa" w:w="130"/>
              <w:bottom w:type="dxa" w:w="60"/>
              <w:right w:type="dxa" w:w="10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333333"/>
                <w:sz w:val="17"/>
                <w:szCs w:val="17"/>
              </w:rPr>
              <w:t xml:space="preserve">Point de veille</w:t>
            </w:r>
          </w:p>
        </w:tc>
        <w:tc>
          <w:tcPr>
            <w:tcW w:type="dxa" w:w="68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 w:color="auto"/>
            <w:tcMar>
              <w:top w:type="dxa" w:w="60"/>
              <w:left w:type="dxa" w:w="100"/>
              <w:bottom w:type="dxa" w:w="60"/>
              <w:right w:type="dxa" w:w="130"/>
            </w:tcMar>
          </w:tcPr>
          <w:p>
            <w:r>
              <w:rPr>
                <w:rFonts w:ascii="Calibri" w:cs="Calibri" w:eastAsia="Calibri" w:hAnsi="Calibri"/>
                <w:i/>
                <w:iCs/>
                <w:color w:val="333333"/>
                <w:sz w:val="17"/>
                <w:szCs w:val="17"/>
              </w:rPr>
              <w:t xml:space="preserve">Suite à [source — date], nous avons identifié [information]. Cela concerne notre activité sur le point suivant : [impact]. Action prévue : [réponse de l'OF].</w:t>
            </w:r>
          </w:p>
        </w:tc>
      </w:tr>
    </w:tbl>
    <w:p>
      <w:pPr>
        <w:spacing w:after="20" w:before="20"/>
      </w:pPr>
    </w:p>
    <w:p>
      <w:pPr>
        <w:spacing w:after="30" w:before="30"/>
      </w:pPr>
    </w:p>
    <w:p>
      <w:pPr>
        <w:pBdr>
          <w:bottom w:val="single" w:color="0A7C5C" w:sz="4" w:space="1"/>
        </w:pBdr>
        <w:spacing w:after="40" w:before="30"/>
      </w:pPr>
    </w:p>
    <w:p>
      <w:pPr>
        <w:spacing w:after="20" w:before="20"/>
      </w:pPr>
    </w:p>
    <w:p>
      <w:pPr>
        <w:spacing w:after="14" w:before="0"/>
        <w:jc w:val="center"/>
      </w:pPr>
      <w:r>
        <w:drawing>
          <wp:inline distT="0" distB="0" distL="0" distR="0">
            <wp:extent cx="2011680" cy="643737"/>
            <wp:effectExtent l="0" t="0" r="0" b="0"/>
            <wp:docPr id="9001" name="Logo Kipk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01" name="Logo Kipki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1680" cy="643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before="0"/>
        <w:jc w:val="center"/>
      </w:pPr>
      <w:r>
        <w:rPr>
          <w:rFonts w:ascii="Calibri" w:cs="Calibri" w:eastAsia="Calibri" w:hAnsi="Calibri"/>
          <w:color w:val="333333"/>
          <w:sz w:val="15"/>
          <w:szCs w:val="15"/>
        </w:rPr>
        <w:t xml:space="preserve">6 avenue de Fronton — 31200 Toulouse  |  contact@kipkit.fr  |  05 82 95 97 73</w:t>
      </w:r>
    </w:p>
    <w:sectPr>
      <w:headerReference w:type="default" r:id="rId7"/>
      <w:footerReference w:type="default" r:id="rId8"/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0A7C5C" w:sz="2" w:space="4"/>
      </w:pBdr>
      <w:tabs>
        <w:tab w:val="right" w:pos="9026"/>
      </w:tabs>
      <w:spacing w:before="80"/>
    </w:pPr>
    <w:r>
      <w:rPr>
        <w:rFonts w:ascii="Calibri" w:cs="Calibri" w:eastAsia="Calibri" w:hAnsi="Calibri"/>
        <w:color w:val="888888"/>
        <w:sz w:val="15"/>
        <w:szCs w:val="15"/>
      </w:rPr>
      <w:t xml:space="preserve">Bibliotheque_Formulations_V01_2026</w:t>
    </w:r>
    <w:r>
      <w:rPr>
        <w:sz w:val="15"/>
        <w:szCs w:val="15"/>
      </w:rPr>
      <w:t xml:space="preserve">	</w:t>
    </w:r>
    <w:r>
      <w:rPr>
        <w:rFonts w:ascii="Calibri" w:cs="Calibri" w:eastAsia="Calibri" w:hAnsi="Calibri"/>
        <w:color w:val="888888"/>
        <w:sz w:val="15"/>
        <w:szCs w:val="15"/>
      </w:rPr>
      <w:t xml:space="preserve">Page </w:t>
    </w:r>
    <w:r>
      <w:rPr>
        <w:rFonts w:ascii="Calibri" w:cs="Calibri" w:eastAsia="Calibri" w:hAnsi="Calibri"/>
        <w:color w:val="888888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888888"/>
        <w:sz w:val="15"/>
        <w:szCs w:val="15"/>
      </w:rPr>
      <w:t xml:space="preserve"> / </w:t>
    </w:r>
    <w:r>
      <w:rPr>
        <w:rFonts w:ascii="Calibri" w:cs="Calibri" w:eastAsia="Calibri" w:hAnsi="Calibri"/>
        <w:color w:val="888888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638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6200"/>
      <w:gridCol w:w="3438"/>
    </w:tblGrid>
    <w:tr>
      <w:tc>
        <w:tcPr>
          <w:tcW w:type="dxa" w:w="6200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  <w:shd w:fill="0F1623" w:val="clear"/>
          <w:tcMar>
            <w:top w:type="dxa" w:w="100"/>
            <w:left w:type="dxa" w:w="200"/>
            <w:bottom w:type="dxa" w:w="100"/>
            <w:right w:type="dxa" w:w="200"/>
          </w:tcMar>
          <w:vAlign w:val="center"/>
        </w:tcPr>
        <w:p>
          <w:r>
            <w:rPr>
              <w:rFonts w:ascii="Calibri" w:cs="Calibri" w:eastAsia="Calibri" w:hAnsi="Calibri"/>
              <w:b/>
              <w:bCs/>
              <w:color w:val="0A7C5C"/>
              <w:sz w:val="22"/>
              <w:szCs w:val="22"/>
            </w:rPr>
            <w:t xml:space="preserve">Kipkit by AKANUP</w:t>
          </w:r>
        </w:p>
        <w:p>
          <w:r>
            <w:rPr>
              <w:rFonts w:ascii="Calibri" w:cs="Calibri" w:eastAsia="Calibri" w:hAnsi="Calibri"/>
              <w:color w:val="DDDDDD"/>
              <w:sz w:val="15"/>
              <w:szCs w:val="15"/>
            </w:rPr>
            <w:t xml:space="preserve">Accompagnement à la certification Qualiopi</w:t>
          </w:r>
        </w:p>
      </w:tc>
      <w:tc>
        <w:tcPr>
          <w:tcW w:type="dxa" w:w="3438"/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  <w:shd w:fill="F7F3ED" w:val="clear"/>
          <w:tcMar>
            <w:top w:type="dxa" w:w="100"/>
            <w:left w:type="dxa" w:w="200"/>
            <w:bottom w:type="dxa" w:w="100"/>
            <w:right w:type="dxa" w:w="200"/>
          </w:tcMar>
          <w:vAlign w:val="center"/>
        </w:tcPr>
        <w:p>
          <w:pPr>
            <w:jc w:val="right"/>
          </w:pPr>
          <w:r>
            <w:rPr>
              <w:rFonts w:ascii="Calibri" w:cs="Calibri" w:eastAsia="Calibri" w:hAnsi="Calibri"/>
              <w:b/>
              <w:bCs/>
              <w:color w:val="1A1A1A"/>
              <w:sz w:val="20"/>
              <w:szCs w:val="20"/>
            </w:rPr>
            <w:t xml:space="preserve">[LOGO]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A1A1A"/>
        <w:sz w:val="19"/>
        <w:szCs w:val="19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image" Target="media/kipkit_logo.png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2026-05-05T19:41:18.839Z</dcterms:created>
  <dcterms:modified xsi:type="dcterms:W3CDTF">2026-05-05T19:41:18.839Z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